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6F" w:rsidRDefault="00C8706F" w:rsidP="000D564D">
      <w:pPr>
        <w:pStyle w:val="Heading1"/>
      </w:pPr>
    </w:p>
    <w:p w:rsidR="00C8706F" w:rsidRDefault="00C8706F" w:rsidP="000D564D">
      <w:pPr>
        <w:pStyle w:val="Heading1"/>
      </w:pPr>
    </w:p>
    <w:p w:rsidR="000D564D" w:rsidRDefault="00C8706F" w:rsidP="000D564D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A9C8AF9">
            <wp:simplePos x="0" y="0"/>
            <wp:positionH relativeFrom="margin">
              <wp:posOffset>4100830</wp:posOffset>
            </wp:positionH>
            <wp:positionV relativeFrom="margin">
              <wp:posOffset>-295275</wp:posOffset>
            </wp:positionV>
            <wp:extent cx="2019600" cy="720000"/>
            <wp:effectExtent l="0" t="0" r="0" b="4445"/>
            <wp:wrapNone/>
            <wp:docPr id="1" name="Picture 1" descr="Office of the Queensland Ombud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orn\Pictures\Logos\QLD_Ombudsman_Tagline_Landscape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EA0">
        <w:t xml:space="preserve">25 years of </w:t>
      </w:r>
      <w:proofErr w:type="spellStart"/>
      <w:r w:rsidR="00437EA0">
        <w:t>whistleblower</w:t>
      </w:r>
      <w:proofErr w:type="spellEnd"/>
      <w:r w:rsidR="00437EA0">
        <w:t xml:space="preserve"> protection in Queensland</w:t>
      </w:r>
    </w:p>
    <w:p w:rsidR="00063A77" w:rsidRDefault="00063A77" w:rsidP="00063A77">
      <w:r>
        <w:t xml:space="preserve">This December marks 25 years of protection for </w:t>
      </w:r>
      <w:proofErr w:type="spellStart"/>
      <w:r>
        <w:t>whistleblowers</w:t>
      </w:r>
      <w:proofErr w:type="spellEnd"/>
      <w:r>
        <w:t xml:space="preserve"> in Queensland. The current legislation, the </w:t>
      </w:r>
      <w:r w:rsidRPr="000D564D">
        <w:rPr>
          <w:i/>
        </w:rPr>
        <w:t>Public Interest Disclosure Act 2010</w:t>
      </w:r>
      <w:r>
        <w:t xml:space="preserve"> (PID Act), was a result of recommendations from the landmark Fitzgerald Report.</w:t>
      </w:r>
    </w:p>
    <w:p w:rsidR="00063A77" w:rsidRDefault="00063A77" w:rsidP="00063A77">
      <w:r>
        <w:t xml:space="preserve">The Queensland Ombudsman is responsible for oversighting implementation of the PID Act. </w:t>
      </w:r>
      <w:r w:rsidR="00437EA0" w:rsidRPr="00437EA0">
        <w:t>The Ombudsman has issued standards setting out what public sector agencies should do to create a culture, and implement systems, to enable people to report wrongdoing and support them when they do. The Ombudsman also provides training to public sector officers.</w:t>
      </w:r>
    </w:p>
    <w:p w:rsidR="00063A77" w:rsidRDefault="00063A77" w:rsidP="00063A77">
      <w:r>
        <w:t>We need your help to educate all public sector officers of their rights and responsibilities about making public interest disclosures.</w:t>
      </w:r>
    </w:p>
    <w:p w:rsidR="00063A77" w:rsidRDefault="00063A77" w:rsidP="00982B20">
      <w:r>
        <w:t xml:space="preserve">Please find downloadable materials </w:t>
      </w:r>
      <w:hyperlink r:id="rId6" w:history="1">
        <w:r w:rsidR="00C8706F">
          <w:rPr>
            <w:rStyle w:val="Hyperlink"/>
            <w:rFonts w:cs="Arial"/>
          </w:rPr>
          <w:t>via this Dropbox link</w:t>
        </w:r>
      </w:hyperlink>
      <w:r w:rsidR="00C8706F">
        <w:rPr>
          <w:rFonts w:cs="Arial"/>
        </w:rPr>
        <w:t xml:space="preserve"> </w:t>
      </w:r>
      <w:r>
        <w:t xml:space="preserve">with everything you need to help us spread the word. </w:t>
      </w:r>
      <w:r w:rsidR="000D564D">
        <w:br/>
      </w:r>
    </w:p>
    <w:p w:rsidR="00694D28" w:rsidRDefault="00694D28" w:rsidP="00694D28">
      <w:pPr>
        <w:pStyle w:val="Heading2"/>
        <w:spacing w:after="120"/>
      </w:pPr>
      <w:r>
        <w:t xml:space="preserve">Print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552"/>
        <w:gridCol w:w="1791"/>
      </w:tblGrid>
      <w:tr w:rsidR="00694D28" w:rsidTr="007929B6">
        <w:tc>
          <w:tcPr>
            <w:tcW w:w="4673" w:type="dxa"/>
          </w:tcPr>
          <w:p w:rsidR="00694D28" w:rsidRPr="006301B7" w:rsidRDefault="00694D28" w:rsidP="007929B6">
            <w:pPr>
              <w:rPr>
                <w:b/>
              </w:rPr>
            </w:pPr>
            <w:r w:rsidRPr="006301B7">
              <w:rPr>
                <w:b/>
              </w:rPr>
              <w:t>File name</w:t>
            </w:r>
          </w:p>
        </w:tc>
        <w:tc>
          <w:tcPr>
            <w:tcW w:w="2552" w:type="dxa"/>
          </w:tcPr>
          <w:p w:rsidR="00694D28" w:rsidRPr="006301B7" w:rsidRDefault="00694D28" w:rsidP="007929B6">
            <w:pPr>
              <w:rPr>
                <w:b/>
              </w:rPr>
            </w:pPr>
            <w:r w:rsidRPr="006301B7">
              <w:rPr>
                <w:b/>
              </w:rPr>
              <w:t>Format</w:t>
            </w:r>
          </w:p>
        </w:tc>
        <w:tc>
          <w:tcPr>
            <w:tcW w:w="1791" w:type="dxa"/>
          </w:tcPr>
          <w:p w:rsidR="00694D28" w:rsidRPr="006301B7" w:rsidRDefault="00694D28" w:rsidP="007929B6">
            <w:pPr>
              <w:rPr>
                <w:b/>
              </w:rPr>
            </w:pPr>
            <w:r w:rsidRPr="006301B7">
              <w:rPr>
                <w:b/>
              </w:rPr>
              <w:t>Dimensions</w:t>
            </w:r>
          </w:p>
        </w:tc>
      </w:tr>
      <w:tr w:rsidR="00694D28" w:rsidTr="007929B6">
        <w:tc>
          <w:tcPr>
            <w:tcW w:w="4673" w:type="dxa"/>
          </w:tcPr>
          <w:p w:rsidR="00694D28" w:rsidRPr="006301B7" w:rsidRDefault="00694D28" w:rsidP="007929B6">
            <w:r w:rsidRPr="00694D28">
              <w:t xml:space="preserve">PIDs 25 years </w:t>
            </w:r>
            <w:r>
              <w:t>–</w:t>
            </w:r>
            <w:r w:rsidRPr="00694D28">
              <w:t xml:space="preserve"> A4 poster</w:t>
            </w:r>
            <w:r>
              <w:t xml:space="preserve"> </w:t>
            </w:r>
            <w:r w:rsidRPr="006301B7">
              <w:t xml:space="preserve">– </w:t>
            </w:r>
            <w:r>
              <w:t>indoor worker</w:t>
            </w:r>
            <w:r w:rsidRPr="006301B7">
              <w:br/>
            </w:r>
            <w:r w:rsidRPr="00694D28">
              <w:t xml:space="preserve">PIDs 25 years </w:t>
            </w:r>
            <w:r>
              <w:t>–</w:t>
            </w:r>
            <w:r w:rsidRPr="00694D28">
              <w:t xml:space="preserve"> A4 poster</w:t>
            </w:r>
            <w:r>
              <w:t xml:space="preserve"> </w:t>
            </w:r>
            <w:r w:rsidRPr="006301B7">
              <w:t xml:space="preserve">– </w:t>
            </w:r>
            <w:r w:rsidR="00555D5F">
              <w:t>outdoor</w:t>
            </w:r>
            <w:r>
              <w:t xml:space="preserve"> worker</w:t>
            </w:r>
          </w:p>
        </w:tc>
        <w:tc>
          <w:tcPr>
            <w:tcW w:w="2552" w:type="dxa"/>
          </w:tcPr>
          <w:p w:rsidR="00694D28" w:rsidRPr="006301B7" w:rsidRDefault="00694D28" w:rsidP="007929B6">
            <w:r>
              <w:t>PDF</w:t>
            </w:r>
          </w:p>
        </w:tc>
        <w:tc>
          <w:tcPr>
            <w:tcW w:w="1791" w:type="dxa"/>
          </w:tcPr>
          <w:p w:rsidR="00694D28" w:rsidRPr="006301B7" w:rsidRDefault="00694D28" w:rsidP="007929B6">
            <w:r>
              <w:t>A4</w:t>
            </w:r>
            <w:r>
              <w:br/>
              <w:t>(210 x 297mm)</w:t>
            </w:r>
          </w:p>
        </w:tc>
      </w:tr>
      <w:tr w:rsidR="00694D28" w:rsidTr="007929B6">
        <w:tc>
          <w:tcPr>
            <w:tcW w:w="4673" w:type="dxa"/>
          </w:tcPr>
          <w:p w:rsidR="00694D28" w:rsidRPr="006301B7" w:rsidRDefault="00694D28" w:rsidP="00694D28">
            <w:r w:rsidRPr="00694D28">
              <w:t xml:space="preserve">PIDs 25 years </w:t>
            </w:r>
            <w:r>
              <w:t>–</w:t>
            </w:r>
            <w:r w:rsidRPr="00694D28">
              <w:t xml:space="preserve"> A</w:t>
            </w:r>
            <w:r>
              <w:t>5</w:t>
            </w:r>
            <w:r w:rsidRPr="00694D28">
              <w:t xml:space="preserve"> </w:t>
            </w:r>
            <w:r>
              <w:t xml:space="preserve">ad </w:t>
            </w:r>
            <w:r w:rsidRPr="006301B7">
              <w:t xml:space="preserve">– </w:t>
            </w:r>
            <w:r>
              <w:t>indoor worker</w:t>
            </w:r>
            <w:r w:rsidRPr="006301B7">
              <w:br/>
            </w:r>
            <w:r w:rsidRPr="00694D28">
              <w:t xml:space="preserve">PIDs 25 years </w:t>
            </w:r>
            <w:r>
              <w:t>–</w:t>
            </w:r>
            <w:r w:rsidRPr="00694D28">
              <w:t xml:space="preserve"> A</w:t>
            </w:r>
            <w:r>
              <w:t>5</w:t>
            </w:r>
            <w:r w:rsidRPr="00694D28">
              <w:t xml:space="preserve"> </w:t>
            </w:r>
            <w:r>
              <w:t xml:space="preserve">ad </w:t>
            </w:r>
            <w:r w:rsidRPr="006301B7">
              <w:t xml:space="preserve">– </w:t>
            </w:r>
            <w:r w:rsidR="00555D5F">
              <w:t xml:space="preserve">outdoor </w:t>
            </w:r>
            <w:bookmarkStart w:id="0" w:name="_GoBack"/>
            <w:bookmarkEnd w:id="0"/>
            <w:r>
              <w:t>worker</w:t>
            </w:r>
          </w:p>
        </w:tc>
        <w:tc>
          <w:tcPr>
            <w:tcW w:w="2552" w:type="dxa"/>
          </w:tcPr>
          <w:p w:rsidR="00694D28" w:rsidRPr="006301B7" w:rsidRDefault="00694D28" w:rsidP="00694D28">
            <w:r>
              <w:t>PDF</w:t>
            </w:r>
          </w:p>
        </w:tc>
        <w:tc>
          <w:tcPr>
            <w:tcW w:w="1791" w:type="dxa"/>
          </w:tcPr>
          <w:p w:rsidR="00694D28" w:rsidRPr="006301B7" w:rsidRDefault="00694D28" w:rsidP="00694D28">
            <w:r>
              <w:t>(190 x 128mm)</w:t>
            </w:r>
          </w:p>
        </w:tc>
      </w:tr>
    </w:tbl>
    <w:p w:rsidR="00063A77" w:rsidRDefault="00063A77" w:rsidP="00C8706F">
      <w:pPr>
        <w:pStyle w:val="Heading2"/>
        <w:spacing w:before="120" w:after="120"/>
      </w:pPr>
      <w:r>
        <w:t>Social media/intranet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552"/>
        <w:gridCol w:w="1791"/>
      </w:tblGrid>
      <w:tr w:rsidR="00063A77" w:rsidTr="006301B7">
        <w:tc>
          <w:tcPr>
            <w:tcW w:w="4673" w:type="dxa"/>
          </w:tcPr>
          <w:p w:rsidR="00063A77" w:rsidRPr="006301B7" w:rsidRDefault="00063A77" w:rsidP="00982B20">
            <w:pPr>
              <w:rPr>
                <w:b/>
              </w:rPr>
            </w:pPr>
            <w:r w:rsidRPr="006301B7">
              <w:rPr>
                <w:b/>
              </w:rPr>
              <w:t>File name</w:t>
            </w:r>
          </w:p>
        </w:tc>
        <w:tc>
          <w:tcPr>
            <w:tcW w:w="2552" w:type="dxa"/>
          </w:tcPr>
          <w:p w:rsidR="00063A77" w:rsidRPr="006301B7" w:rsidRDefault="00063A77" w:rsidP="00982B20">
            <w:pPr>
              <w:rPr>
                <w:b/>
              </w:rPr>
            </w:pPr>
            <w:r w:rsidRPr="006301B7">
              <w:rPr>
                <w:b/>
              </w:rPr>
              <w:t>Format</w:t>
            </w:r>
          </w:p>
        </w:tc>
        <w:tc>
          <w:tcPr>
            <w:tcW w:w="1791" w:type="dxa"/>
          </w:tcPr>
          <w:p w:rsidR="00063A77" w:rsidRPr="006301B7" w:rsidRDefault="00063A77" w:rsidP="00982B20">
            <w:pPr>
              <w:rPr>
                <w:b/>
              </w:rPr>
            </w:pPr>
            <w:r w:rsidRPr="006301B7">
              <w:rPr>
                <w:b/>
              </w:rPr>
              <w:t>Dimensions</w:t>
            </w:r>
          </w:p>
        </w:tc>
      </w:tr>
      <w:tr w:rsidR="00063A77" w:rsidTr="000D564D">
        <w:trPr>
          <w:trHeight w:val="606"/>
        </w:trPr>
        <w:tc>
          <w:tcPr>
            <w:tcW w:w="4673" w:type="dxa"/>
          </w:tcPr>
          <w:p w:rsidR="00063A77" w:rsidRPr="006301B7" w:rsidRDefault="00063A77" w:rsidP="00982B20">
            <w:r w:rsidRPr="006301B7">
              <w:t xml:space="preserve">PIDs 25 years </w:t>
            </w:r>
            <w:r w:rsidR="00694D28">
              <w:t>–</w:t>
            </w:r>
            <w:r w:rsidR="00694D28" w:rsidRPr="00694D28">
              <w:t xml:space="preserve"> </w:t>
            </w:r>
            <w:r w:rsidRPr="006301B7">
              <w:t xml:space="preserve">social square </w:t>
            </w:r>
            <w:r w:rsidR="006301B7" w:rsidRPr="006301B7">
              <w:t>–</w:t>
            </w:r>
            <w:r w:rsidRPr="006301B7">
              <w:t xml:space="preserve"> green</w:t>
            </w:r>
            <w:r w:rsidR="006301B7" w:rsidRPr="006301B7">
              <w:br/>
              <w:t xml:space="preserve">PIDs 25 years </w:t>
            </w:r>
            <w:r w:rsidR="00694D28">
              <w:t>–</w:t>
            </w:r>
            <w:r w:rsidR="00694D28" w:rsidRPr="00694D28">
              <w:t xml:space="preserve"> </w:t>
            </w:r>
            <w:r w:rsidR="006301B7" w:rsidRPr="006301B7">
              <w:t xml:space="preserve">social square </w:t>
            </w:r>
            <w:r w:rsidR="00694D28">
              <w:t>–</w:t>
            </w:r>
            <w:r w:rsidR="00694D28" w:rsidRPr="00694D28">
              <w:t xml:space="preserve"> </w:t>
            </w:r>
            <w:r w:rsidR="006301B7" w:rsidRPr="006301B7">
              <w:t>grey</w:t>
            </w:r>
          </w:p>
        </w:tc>
        <w:tc>
          <w:tcPr>
            <w:tcW w:w="2552" w:type="dxa"/>
          </w:tcPr>
          <w:p w:rsidR="00063A77" w:rsidRPr="006301B7" w:rsidRDefault="00063A77" w:rsidP="00982B20">
            <w:r w:rsidRPr="006301B7">
              <w:t>JPG and PNG files</w:t>
            </w:r>
          </w:p>
        </w:tc>
        <w:tc>
          <w:tcPr>
            <w:tcW w:w="1791" w:type="dxa"/>
          </w:tcPr>
          <w:p w:rsidR="00063A77" w:rsidRPr="006301B7" w:rsidRDefault="00063A77" w:rsidP="00982B20">
            <w:r w:rsidRPr="006301B7">
              <w:t>1200x1200px</w:t>
            </w:r>
          </w:p>
        </w:tc>
      </w:tr>
    </w:tbl>
    <w:p w:rsidR="00063A77" w:rsidRDefault="00063A77" w:rsidP="00063A77">
      <w:pPr>
        <w:spacing w:before="120"/>
      </w:pPr>
      <w:r>
        <w:t>[Suggested post text]</w:t>
      </w:r>
    </w:p>
    <w:p w:rsidR="00982B20" w:rsidRPr="00694D28" w:rsidRDefault="00982B20" w:rsidP="00694D28">
      <w:pPr>
        <w:ind w:left="720"/>
        <w:rPr>
          <w:color w:val="808080" w:themeColor="background1" w:themeShade="80"/>
        </w:rPr>
      </w:pPr>
      <w:r w:rsidRPr="00694D28">
        <w:rPr>
          <w:color w:val="808080" w:themeColor="background1" w:themeShade="80"/>
        </w:rPr>
        <w:t xml:space="preserve">This December marks 25 years of protection for </w:t>
      </w:r>
      <w:proofErr w:type="spellStart"/>
      <w:r w:rsidRPr="00694D28">
        <w:rPr>
          <w:color w:val="808080" w:themeColor="background1" w:themeShade="80"/>
        </w:rPr>
        <w:t>whistleblowers</w:t>
      </w:r>
      <w:proofErr w:type="spellEnd"/>
      <w:r w:rsidRPr="00694D28">
        <w:rPr>
          <w:color w:val="808080" w:themeColor="background1" w:themeShade="80"/>
        </w:rPr>
        <w:t xml:space="preserve"> in Queensland. The current legislation, the </w:t>
      </w:r>
      <w:r w:rsidRPr="00694D28">
        <w:rPr>
          <w:i/>
          <w:color w:val="808080" w:themeColor="background1" w:themeShade="80"/>
        </w:rPr>
        <w:t>Public Interest Disclosure Act 2010</w:t>
      </w:r>
      <w:r w:rsidRPr="00694D28">
        <w:rPr>
          <w:color w:val="808080" w:themeColor="background1" w:themeShade="80"/>
        </w:rPr>
        <w:t xml:space="preserve"> (PID Act), was a result of recommendations from the landmark Fitzgerald Report.</w:t>
      </w:r>
    </w:p>
    <w:p w:rsidR="00982B20" w:rsidRPr="00694D28" w:rsidRDefault="00982B20" w:rsidP="00694D28">
      <w:pPr>
        <w:ind w:left="720"/>
        <w:rPr>
          <w:color w:val="808080" w:themeColor="background1" w:themeShade="80"/>
        </w:rPr>
      </w:pPr>
      <w:r w:rsidRPr="00694D28">
        <w:rPr>
          <w:color w:val="808080" w:themeColor="background1" w:themeShade="80"/>
        </w:rPr>
        <w:t>The PID Act provides a way for people to disclose information about serious wrongdoing in the public sector, and to ensure they are appropriately protected when they do.</w:t>
      </w:r>
    </w:p>
    <w:p w:rsidR="00982B20" w:rsidRPr="00694D28" w:rsidRDefault="00982B20" w:rsidP="00694D28">
      <w:pPr>
        <w:ind w:left="720"/>
        <w:rPr>
          <w:color w:val="808080" w:themeColor="background1" w:themeShade="80"/>
        </w:rPr>
      </w:pPr>
      <w:r w:rsidRPr="00694D28">
        <w:rPr>
          <w:color w:val="808080" w:themeColor="background1" w:themeShade="80"/>
        </w:rPr>
        <w:t xml:space="preserve">Want to know more?  </w:t>
      </w:r>
    </w:p>
    <w:p w:rsidR="00982B20" w:rsidRPr="00694D28" w:rsidRDefault="00982B20" w:rsidP="00694D28">
      <w:pPr>
        <w:ind w:left="720"/>
        <w:rPr>
          <w:color w:val="808080" w:themeColor="background1" w:themeShade="80"/>
        </w:rPr>
      </w:pPr>
      <w:r w:rsidRPr="00694D28">
        <w:rPr>
          <w:color w:val="808080" w:themeColor="background1" w:themeShade="80"/>
        </w:rPr>
        <w:t>* Search your agency’s website for its PID procedure and contact your agency’s PID coordinator.</w:t>
      </w:r>
    </w:p>
    <w:p w:rsidR="00B656BE" w:rsidRDefault="00982B20" w:rsidP="00694D28">
      <w:pPr>
        <w:ind w:left="720"/>
        <w:rPr>
          <w:b/>
          <w:color w:val="808080" w:themeColor="background1" w:themeShade="80"/>
        </w:rPr>
      </w:pPr>
      <w:r w:rsidRPr="00694D28">
        <w:rPr>
          <w:color w:val="808080" w:themeColor="background1" w:themeShade="80"/>
        </w:rPr>
        <w:t xml:space="preserve">* View the range of PID resources </w:t>
      </w:r>
      <w:r w:rsidRPr="00694D28">
        <w:rPr>
          <w:b/>
          <w:color w:val="808080" w:themeColor="background1" w:themeShade="80"/>
        </w:rPr>
        <w:t>bit.ly/Qld-PIDs</w:t>
      </w:r>
    </w:p>
    <w:p w:rsidR="00437EA0" w:rsidRDefault="00437EA0" w:rsidP="00437EA0">
      <w:pPr>
        <w:rPr>
          <w:rFonts w:cs="Arial"/>
        </w:rPr>
      </w:pPr>
    </w:p>
    <w:p w:rsidR="00437EA0" w:rsidRPr="00437EA0" w:rsidRDefault="00437EA0" w:rsidP="00437EA0">
      <w:pPr>
        <w:rPr>
          <w:rFonts w:cs="Arial"/>
        </w:rPr>
      </w:pPr>
      <w:r>
        <w:rPr>
          <w:rFonts w:cs="Arial"/>
        </w:rPr>
        <w:t xml:space="preserve">If you would like additional information to help spread the word, contact the Queensland Ombudsman Communications team by emailing </w:t>
      </w:r>
      <w:hyperlink r:id="rId7" w:history="1">
        <w:r>
          <w:rPr>
            <w:rStyle w:val="Hyperlink"/>
            <w:rFonts w:cs="Arial"/>
          </w:rPr>
          <w:t>media@ombudsman.qld.gov.au</w:t>
        </w:r>
      </w:hyperlink>
      <w:r>
        <w:rPr>
          <w:rFonts w:cs="Arial"/>
        </w:rPr>
        <w:t>.</w:t>
      </w:r>
    </w:p>
    <w:sectPr w:rsidR="00437EA0" w:rsidRPr="00437EA0" w:rsidSect="00694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C44"/>
    <w:multiLevelType w:val="hybridMultilevel"/>
    <w:tmpl w:val="8BA0E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99F"/>
    <w:multiLevelType w:val="hybridMultilevel"/>
    <w:tmpl w:val="8D3CCE18"/>
    <w:lvl w:ilvl="0" w:tplc="B3F6902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20"/>
    <w:rsid w:val="00063A77"/>
    <w:rsid w:val="000D564D"/>
    <w:rsid w:val="00437EA0"/>
    <w:rsid w:val="00555D5F"/>
    <w:rsid w:val="006301B7"/>
    <w:rsid w:val="00694D28"/>
    <w:rsid w:val="00982B20"/>
    <w:rsid w:val="00B656BE"/>
    <w:rsid w:val="00C8706F"/>
    <w:rsid w:val="00E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11D1"/>
  <w15:chartTrackingRefBased/>
  <w15:docId w15:val="{8D6BD2A7-2954-4EC8-B901-F9C8D0E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7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EA0"/>
    <w:pPr>
      <w:keepNext/>
      <w:keepLines/>
      <w:spacing w:before="240" w:after="0"/>
      <w:outlineLvl w:val="0"/>
    </w:pPr>
    <w:rPr>
      <w:rFonts w:eastAsiaTheme="majorEastAsia" w:cstheme="majorBidi"/>
      <w:b/>
      <w:color w:val="008AC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EA0"/>
    <w:pPr>
      <w:keepNext/>
      <w:keepLines/>
      <w:spacing w:before="40" w:after="0"/>
      <w:outlineLvl w:val="1"/>
    </w:pPr>
    <w:rPr>
      <w:rFonts w:eastAsiaTheme="majorEastAsia" w:cstheme="majorBidi"/>
      <w:b/>
      <w:color w:val="008AC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7EA0"/>
    <w:rPr>
      <w:rFonts w:ascii="Arial" w:eastAsiaTheme="majorEastAsia" w:hAnsi="Arial" w:cstheme="majorBidi"/>
      <w:b/>
      <w:color w:val="008AC5"/>
      <w:sz w:val="24"/>
      <w:szCs w:val="26"/>
    </w:rPr>
  </w:style>
  <w:style w:type="table" w:styleId="TableGrid">
    <w:name w:val="Table Grid"/>
    <w:basedOn w:val="TableNormal"/>
    <w:uiPriority w:val="39"/>
    <w:rsid w:val="0006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EA0"/>
    <w:rPr>
      <w:rFonts w:ascii="Arial" w:eastAsiaTheme="majorEastAsia" w:hAnsi="Arial" w:cstheme="majorBidi"/>
      <w:b/>
      <w:color w:val="008AC5"/>
      <w:sz w:val="36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3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ombudsman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t3krb9wldoxxbr1/AACnj-KOctQg2Qnp5mgqmml9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Evans</dc:creator>
  <cp:keywords/>
  <dc:description/>
  <cp:lastModifiedBy>Meredith Evans</cp:lastModifiedBy>
  <cp:revision>6</cp:revision>
  <dcterms:created xsi:type="dcterms:W3CDTF">2019-11-12T00:23:00Z</dcterms:created>
  <dcterms:modified xsi:type="dcterms:W3CDTF">2019-11-14T02:40:00Z</dcterms:modified>
</cp:coreProperties>
</file>